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E27" w:rsidRDefault="00470E27" w:rsidP="00470E27">
      <w:pPr>
        <w:pStyle w:val="Heading2"/>
      </w:pPr>
      <w:r>
        <w:t>Session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425"/>
        <w:gridCol w:w="142"/>
        <w:gridCol w:w="850"/>
        <w:gridCol w:w="3696"/>
        <w:gridCol w:w="982"/>
        <w:gridCol w:w="428"/>
        <w:gridCol w:w="1238"/>
      </w:tblGrid>
      <w:tr w:rsidR="00470E27" w:rsidTr="009268A8">
        <w:tc>
          <w:tcPr>
            <w:tcW w:w="1526" w:type="dxa"/>
            <w:gridSpan w:val="3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Program</w:t>
            </w:r>
          </w:p>
        </w:tc>
        <w:tc>
          <w:tcPr>
            <w:tcW w:w="7194" w:type="dxa"/>
            <w:gridSpan w:val="5"/>
          </w:tcPr>
          <w:p w:rsidR="00470E27" w:rsidRPr="0075215F" w:rsidRDefault="0021684C" w:rsidP="009268A8">
            <w:pPr>
              <w:pStyle w:val="TableText"/>
              <w:spacing w:before="80" w:after="80" w:line="240" w:lineRule="auto"/>
              <w:rPr>
                <w:sz w:val="24"/>
                <w:szCs w:val="24"/>
              </w:rPr>
            </w:pPr>
            <w:hyperlink r:id="rId5" w:tooltip="View details for unit code FNSFLT204A" w:history="1">
              <w:r w:rsidR="00470E27">
                <w:rPr>
                  <w:rStyle w:val="Hyperlink"/>
                  <w:rFonts w:ascii="Verdana" w:hAnsi="Verdana"/>
                  <w:sz w:val="18"/>
                  <w:szCs w:val="18"/>
                </w:rPr>
                <w:t>FNSFLT204A</w:t>
              </w:r>
              <w:r w:rsidR="00470E27">
                <w:rPr>
                  <w:rStyle w:val="accessibilityonly"/>
                  <w:rFonts w:ascii="Verdana" w:hAnsi="Verdana"/>
                  <w:color w:val="034AF3"/>
                  <w:sz w:val="18"/>
                  <w:szCs w:val="18"/>
                  <w:u w:val="single"/>
                </w:rPr>
                <w:t xml:space="preserve"> - Develop understanding of superannuation</w:t>
              </w:r>
            </w:hyperlink>
          </w:p>
        </w:tc>
      </w:tr>
      <w:tr w:rsidR="00470E27" w:rsidTr="009268A8">
        <w:tc>
          <w:tcPr>
            <w:tcW w:w="1526" w:type="dxa"/>
            <w:gridSpan w:val="3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Session title</w:t>
            </w:r>
          </w:p>
        </w:tc>
        <w:tc>
          <w:tcPr>
            <w:tcW w:w="4546" w:type="dxa"/>
            <w:gridSpan w:val="2"/>
          </w:tcPr>
          <w:p w:rsidR="00470E27" w:rsidRPr="00AB10F9" w:rsidRDefault="00470E27" w:rsidP="009268A8">
            <w:pPr>
              <w:pStyle w:val="TableText"/>
            </w:pPr>
            <w:r>
              <w:t>What  superannuation is, its goal and history</w:t>
            </w:r>
          </w:p>
        </w:tc>
        <w:tc>
          <w:tcPr>
            <w:tcW w:w="1410" w:type="dxa"/>
            <w:gridSpan w:val="2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Total time</w:t>
            </w:r>
          </w:p>
        </w:tc>
        <w:tc>
          <w:tcPr>
            <w:tcW w:w="1238" w:type="dxa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30min’s</w:t>
            </w:r>
          </w:p>
        </w:tc>
      </w:tr>
      <w:tr w:rsidR="00470E27" w:rsidTr="009268A8">
        <w:tc>
          <w:tcPr>
            <w:tcW w:w="1526" w:type="dxa"/>
            <w:gridSpan w:val="3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Outcome</w:t>
            </w:r>
          </w:p>
        </w:tc>
        <w:tc>
          <w:tcPr>
            <w:tcW w:w="7194" w:type="dxa"/>
            <w:gridSpan w:val="5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To be able to clearly explain what superannuation is and why we have it in Australia and how the idea originated.</w:t>
            </w:r>
          </w:p>
        </w:tc>
      </w:tr>
      <w:tr w:rsidR="00470E27" w:rsidTr="009268A8">
        <w:tc>
          <w:tcPr>
            <w:tcW w:w="1526" w:type="dxa"/>
            <w:gridSpan w:val="3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Resources</w:t>
            </w:r>
          </w:p>
        </w:tc>
        <w:tc>
          <w:tcPr>
            <w:tcW w:w="7194" w:type="dxa"/>
            <w:gridSpan w:val="5"/>
          </w:tcPr>
          <w:p w:rsidR="00470E27" w:rsidRDefault="0021684C" w:rsidP="009268A8">
            <w:pPr>
              <w:pStyle w:val="TableText"/>
            </w:pPr>
            <w:hyperlink r:id="rId6" w:history="1">
              <w:r w:rsidR="00470E27" w:rsidRPr="00EF5F04">
                <w:rPr>
                  <w:rStyle w:val="Hyperlink"/>
                </w:rPr>
                <w:t>http://www.apra.gov.au/Super/Pages/superannuation-legislation.aspx</w:t>
              </w:r>
            </w:hyperlink>
          </w:p>
          <w:p w:rsidR="00470E27" w:rsidRDefault="0021684C" w:rsidP="009268A8">
            <w:pPr>
              <w:pStyle w:val="TableText"/>
              <w:rPr>
                <w:rStyle w:val="HTMLCite"/>
                <w:rFonts w:ascii="Arial" w:hAnsi="Arial" w:cs="Arial"/>
              </w:rPr>
            </w:pPr>
            <w:hyperlink r:id="rId7" w:history="1">
              <w:r w:rsidR="00470E27" w:rsidRPr="00EF5F04">
                <w:rPr>
                  <w:rStyle w:val="Hyperlink"/>
                  <w:rFonts w:ascii="Arial" w:hAnsi="Arial" w:cs="Arial"/>
                </w:rPr>
                <w:t>www.ato.gov.au/super/</w:t>
              </w:r>
            </w:hyperlink>
          </w:p>
          <w:p w:rsidR="00470E27" w:rsidRDefault="0021684C" w:rsidP="009268A8">
            <w:pPr>
              <w:pStyle w:val="Tablehangingindent1"/>
              <w:spacing w:before="80" w:after="80" w:line="240" w:lineRule="auto"/>
              <w:rPr>
                <w:rStyle w:val="Hyperlink"/>
              </w:rPr>
            </w:pPr>
            <w:hyperlink r:id="rId8" w:history="1">
              <w:r w:rsidR="00470E27" w:rsidRPr="00655C85">
                <w:rPr>
                  <w:rStyle w:val="Hyperlink"/>
                </w:rPr>
                <w:t>http://www.actu.org.au/super/about/super_history.html</w:t>
              </w:r>
            </w:hyperlink>
          </w:p>
          <w:p w:rsidR="00470E27" w:rsidRDefault="0021684C" w:rsidP="009268A8">
            <w:pPr>
              <w:pStyle w:val="Tablehangingindent1"/>
              <w:spacing w:before="80" w:after="80" w:line="240" w:lineRule="auto"/>
            </w:pPr>
            <w:hyperlink r:id="rId9" w:history="1">
              <w:r w:rsidR="00470E27">
                <w:rPr>
                  <w:rStyle w:val="Hyperlink"/>
                </w:rPr>
                <w:t>http://www.apra.gov.au/Insight/Documents/History-of-superannuation.pdf</w:t>
              </w:r>
            </w:hyperlink>
          </w:p>
          <w:p w:rsidR="00470E27" w:rsidRPr="00BD62DB" w:rsidRDefault="0021684C" w:rsidP="009268A8">
            <w:pPr>
              <w:pStyle w:val="Tablehangingindent1"/>
              <w:spacing w:before="80" w:after="80" w:line="240" w:lineRule="auto"/>
            </w:pPr>
            <w:hyperlink r:id="rId10" w:history="1">
              <w:r w:rsidR="00470E27">
                <w:rPr>
                  <w:rStyle w:val="Hyperlink"/>
                </w:rPr>
                <w:t>http://www.aist.asn.au/resources/super-for-consumers/the-history-of-super.aspx</w:t>
              </w:r>
            </w:hyperlink>
          </w:p>
        </w:tc>
      </w:tr>
      <w:tr w:rsidR="00470E27" w:rsidRPr="00A57F76" w:rsidTr="009268A8">
        <w:tc>
          <w:tcPr>
            <w:tcW w:w="8720" w:type="dxa"/>
            <w:gridSpan w:val="8"/>
            <w:tcBorders>
              <w:left w:val="nil"/>
              <w:right w:val="nil"/>
            </w:tcBorders>
          </w:tcPr>
          <w:p w:rsidR="00470E27" w:rsidRPr="00501E37" w:rsidRDefault="00470E27" w:rsidP="009268A8">
            <w:pPr>
              <w:pStyle w:val="TableHeadReverse"/>
              <w:spacing w:before="80" w:after="80" w:line="240" w:lineRule="auto"/>
              <w:rPr>
                <w:sz w:val="2"/>
                <w:szCs w:val="2"/>
              </w:rPr>
            </w:pPr>
          </w:p>
        </w:tc>
      </w:tr>
      <w:tr w:rsidR="00470E27" w:rsidRPr="00564286" w:rsidTr="009268A8">
        <w:tc>
          <w:tcPr>
            <w:tcW w:w="959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  <w:bCs/>
              </w:rPr>
            </w:pPr>
            <w:r w:rsidRPr="00501E37">
              <w:rPr>
                <w:b/>
                <w:bCs/>
              </w:rPr>
              <w:t>Time</w:t>
            </w:r>
          </w:p>
        </w:tc>
        <w:tc>
          <w:tcPr>
            <w:tcW w:w="6095" w:type="dxa"/>
            <w:gridSpan w:val="5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  <w:bCs/>
              </w:rPr>
            </w:pPr>
            <w:r w:rsidRPr="00501E37">
              <w:rPr>
                <w:b/>
                <w:bCs/>
              </w:rPr>
              <w:t>Activities</w:t>
            </w:r>
          </w:p>
        </w:tc>
        <w:tc>
          <w:tcPr>
            <w:tcW w:w="1666" w:type="dxa"/>
            <w:gridSpan w:val="2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  <w:bCs/>
              </w:rPr>
            </w:pPr>
            <w:r w:rsidRPr="00501E37">
              <w:rPr>
                <w:b/>
                <w:bCs/>
              </w:rPr>
              <w:t>Resources</w:t>
            </w:r>
          </w:p>
        </w:tc>
      </w:tr>
      <w:tr w:rsidR="00470E27" w:rsidRPr="00564286" w:rsidTr="009268A8">
        <w:tc>
          <w:tcPr>
            <w:tcW w:w="8720" w:type="dxa"/>
            <w:gridSpan w:val="8"/>
            <w:shd w:val="clear" w:color="auto" w:fill="244061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  <w:color w:val="FFFFFF"/>
              </w:rPr>
            </w:pPr>
            <w:r w:rsidRPr="00501E37">
              <w:rPr>
                <w:b/>
                <w:color w:val="FFFFFF"/>
              </w:rPr>
              <w:t>INTRODUCTION</w:t>
            </w:r>
          </w:p>
        </w:tc>
      </w:tr>
      <w:tr w:rsidR="00470E27" w:rsidTr="009268A8">
        <w:tc>
          <w:tcPr>
            <w:tcW w:w="959" w:type="dxa"/>
            <w:vMerge w:val="restart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3min’s</w:t>
            </w:r>
          </w:p>
        </w:tc>
        <w:tc>
          <w:tcPr>
            <w:tcW w:w="425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I</w:t>
            </w:r>
          </w:p>
        </w:tc>
        <w:tc>
          <w:tcPr>
            <w:tcW w:w="5670" w:type="dxa"/>
            <w:gridSpan w:val="4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 xml:space="preserve">Interest the learners by doing an Ice breaker activity 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Ball</w:t>
            </w:r>
          </w:p>
        </w:tc>
      </w:tr>
      <w:tr w:rsidR="00470E27" w:rsidTr="009268A8">
        <w:tc>
          <w:tcPr>
            <w:tcW w:w="959" w:type="dxa"/>
            <w:vMerge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N</w:t>
            </w:r>
          </w:p>
        </w:tc>
        <w:tc>
          <w:tcPr>
            <w:tcW w:w="5670" w:type="dxa"/>
            <w:gridSpan w:val="4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This is needed to become a Superannuation call centre operator.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</w:p>
        </w:tc>
      </w:tr>
      <w:tr w:rsidR="00470E27" w:rsidTr="009268A8">
        <w:tc>
          <w:tcPr>
            <w:tcW w:w="959" w:type="dxa"/>
            <w:vMerge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T</w:t>
            </w:r>
          </w:p>
        </w:tc>
        <w:tc>
          <w:tcPr>
            <w:tcW w:w="5670" w:type="dxa"/>
            <w:gridSpan w:val="4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This season will run for 30 min’s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</w:tr>
      <w:tr w:rsidR="00470E27" w:rsidTr="009268A8">
        <w:tc>
          <w:tcPr>
            <w:tcW w:w="959" w:type="dxa"/>
            <w:vMerge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R</w:t>
            </w:r>
          </w:p>
        </w:tc>
        <w:tc>
          <w:tcPr>
            <w:tcW w:w="5670" w:type="dxa"/>
            <w:gridSpan w:val="4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 xml:space="preserve">This is needed as </w:t>
            </w:r>
            <w:r w:rsidR="0021684C">
              <w:t>an</w:t>
            </w:r>
            <w:r>
              <w:t xml:space="preserve"> introduction to superannuation concepts</w:t>
            </w:r>
          </w:p>
        </w:tc>
        <w:tc>
          <w:tcPr>
            <w:tcW w:w="1666" w:type="dxa"/>
            <w:gridSpan w:val="2"/>
            <w:tcBorders>
              <w:left w:val="nil"/>
            </w:tcBorders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</w:tr>
      <w:tr w:rsidR="00470E27" w:rsidTr="009268A8">
        <w:tc>
          <w:tcPr>
            <w:tcW w:w="959" w:type="dxa"/>
            <w:vMerge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O</w:t>
            </w:r>
          </w:p>
        </w:tc>
        <w:tc>
          <w:tcPr>
            <w:tcW w:w="5670" w:type="dxa"/>
            <w:gridSpan w:val="4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To understand what superannuation is and its history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</w:tr>
      <w:tr w:rsidR="00470E27" w:rsidTr="009268A8">
        <w:tc>
          <w:tcPr>
            <w:tcW w:w="959" w:type="dxa"/>
            <w:vMerge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S</w:t>
            </w:r>
          </w:p>
        </w:tc>
        <w:tc>
          <w:tcPr>
            <w:tcW w:w="5670" w:type="dxa"/>
            <w:gridSpan w:val="4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Venue access</w:t>
            </w:r>
          </w:p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 xml:space="preserve">Fire escapes and emergency procedures </w:t>
            </w:r>
          </w:p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Direct to first aid officers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</w:tr>
      <w:tr w:rsidR="00470E27" w:rsidRPr="00564286" w:rsidTr="009268A8">
        <w:tc>
          <w:tcPr>
            <w:tcW w:w="8720" w:type="dxa"/>
            <w:gridSpan w:val="8"/>
            <w:shd w:val="clear" w:color="auto" w:fill="244061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  <w:color w:val="FFFFFF"/>
              </w:rPr>
            </w:pPr>
            <w:r w:rsidRPr="00501E37">
              <w:rPr>
                <w:b/>
                <w:color w:val="FFFFFF"/>
              </w:rPr>
              <w:t>BODY</w:t>
            </w:r>
          </w:p>
        </w:tc>
      </w:tr>
      <w:tr w:rsidR="00470E27" w:rsidTr="009268A8">
        <w:tc>
          <w:tcPr>
            <w:tcW w:w="959" w:type="dxa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10min’s</w:t>
            </w:r>
          </w:p>
        </w:tc>
        <w:tc>
          <w:tcPr>
            <w:tcW w:w="1417" w:type="dxa"/>
            <w:gridSpan w:val="3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Explain</w:t>
            </w:r>
          </w:p>
        </w:tc>
        <w:tc>
          <w:tcPr>
            <w:tcW w:w="4678" w:type="dxa"/>
            <w:gridSpan w:val="2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Will explain the definition of superannuation and the desired outcomes from having it</w:t>
            </w:r>
          </w:p>
          <w:p w:rsidR="00470E27" w:rsidRDefault="00470E27" w:rsidP="0021684C">
            <w:pPr>
              <w:pStyle w:val="Tablehangingindent1"/>
              <w:spacing w:before="80" w:after="80" w:line="240" w:lineRule="auto"/>
            </w:pPr>
            <w:r>
              <w:t xml:space="preserve">Will </w:t>
            </w:r>
            <w:r w:rsidR="0021684C">
              <w:t>go through the history of superannuation and discuss throughout.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Power Point</w:t>
            </w:r>
          </w:p>
          <w:p w:rsidR="00470E27" w:rsidRDefault="00470E27" w:rsidP="009268A8">
            <w:pPr>
              <w:pStyle w:val="Tablehangingindent1"/>
              <w:spacing w:before="80" w:after="80" w:line="240" w:lineRule="auto"/>
              <w:ind w:left="0" w:firstLine="0"/>
            </w:pPr>
            <w:r>
              <w:t xml:space="preserve">Computer </w:t>
            </w:r>
          </w:p>
          <w:p w:rsidR="00470E27" w:rsidRDefault="00470E27" w:rsidP="009268A8">
            <w:pPr>
              <w:pStyle w:val="Tablehangingindent1"/>
              <w:spacing w:before="80" w:after="80" w:line="240" w:lineRule="auto"/>
              <w:ind w:left="0" w:firstLine="0"/>
            </w:pPr>
            <w:r>
              <w:t>Projector</w:t>
            </w:r>
          </w:p>
        </w:tc>
      </w:tr>
      <w:tr w:rsidR="00470E27" w:rsidTr="009268A8">
        <w:tc>
          <w:tcPr>
            <w:tcW w:w="959" w:type="dxa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5min’s</w:t>
            </w:r>
          </w:p>
        </w:tc>
        <w:tc>
          <w:tcPr>
            <w:tcW w:w="1417" w:type="dxa"/>
            <w:gridSpan w:val="3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Apply</w:t>
            </w:r>
          </w:p>
        </w:tc>
        <w:tc>
          <w:tcPr>
            <w:tcW w:w="4678" w:type="dxa"/>
            <w:gridSpan w:val="2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Will provided cut outs of different event’s in history and the class is to get up and work together to place them on the time line.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White Board</w:t>
            </w:r>
          </w:p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Hand-out’s</w:t>
            </w:r>
          </w:p>
        </w:tc>
      </w:tr>
      <w:tr w:rsidR="00470E27" w:rsidTr="009268A8">
        <w:tc>
          <w:tcPr>
            <w:tcW w:w="959" w:type="dxa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5min’s</w:t>
            </w:r>
          </w:p>
        </w:tc>
        <w:tc>
          <w:tcPr>
            <w:tcW w:w="1417" w:type="dxa"/>
            <w:gridSpan w:val="3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Summarise</w:t>
            </w:r>
          </w:p>
        </w:tc>
        <w:tc>
          <w:tcPr>
            <w:tcW w:w="4678" w:type="dxa"/>
            <w:gridSpan w:val="2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color w:val="A6A6A6"/>
              </w:rPr>
            </w:pPr>
            <w:r>
              <w:t>Check the results of the class exercise and discuss the results</w:t>
            </w:r>
            <w:bookmarkStart w:id="0" w:name="_GoBack"/>
            <w:bookmarkEnd w:id="0"/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White Board</w:t>
            </w:r>
          </w:p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Hand-out’s</w:t>
            </w:r>
          </w:p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Power Point</w:t>
            </w:r>
          </w:p>
          <w:p w:rsidR="00470E27" w:rsidRDefault="00470E27" w:rsidP="009268A8">
            <w:pPr>
              <w:pStyle w:val="Tablehangingindent1"/>
              <w:spacing w:before="80" w:after="80" w:line="240" w:lineRule="auto"/>
              <w:ind w:left="0" w:firstLine="0"/>
            </w:pPr>
            <w:r>
              <w:t xml:space="preserve">Computer </w:t>
            </w:r>
          </w:p>
          <w:p w:rsidR="00470E27" w:rsidRPr="006E3FEB" w:rsidRDefault="00470E27" w:rsidP="009268A8">
            <w:pPr>
              <w:pStyle w:val="TableText"/>
              <w:spacing w:before="80" w:after="80" w:line="240" w:lineRule="auto"/>
            </w:pPr>
            <w:r>
              <w:t>Projector</w:t>
            </w:r>
          </w:p>
        </w:tc>
      </w:tr>
      <w:tr w:rsidR="00470E27" w:rsidTr="009268A8">
        <w:tc>
          <w:tcPr>
            <w:tcW w:w="959" w:type="dxa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2min’s</w:t>
            </w:r>
          </w:p>
        </w:tc>
        <w:tc>
          <w:tcPr>
            <w:tcW w:w="1417" w:type="dxa"/>
            <w:gridSpan w:val="3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Assess</w:t>
            </w:r>
          </w:p>
        </w:tc>
        <w:tc>
          <w:tcPr>
            <w:tcW w:w="4678" w:type="dxa"/>
            <w:gridSpan w:val="2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 xml:space="preserve">Discuss how test will be completed at the end of the unit of competency also this is a part of the “apply” 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n/a</w:t>
            </w:r>
          </w:p>
        </w:tc>
      </w:tr>
      <w:tr w:rsidR="00470E27" w:rsidRPr="00564286" w:rsidTr="009268A8">
        <w:tc>
          <w:tcPr>
            <w:tcW w:w="8720" w:type="dxa"/>
            <w:gridSpan w:val="8"/>
            <w:shd w:val="clear" w:color="auto" w:fill="244061"/>
          </w:tcPr>
          <w:p w:rsidR="00470E27" w:rsidRPr="00501E37" w:rsidRDefault="00470E27" w:rsidP="009268A8">
            <w:pPr>
              <w:pStyle w:val="Tablehangingindent1"/>
              <w:spacing w:before="80" w:after="80" w:line="240" w:lineRule="auto"/>
              <w:rPr>
                <w:b/>
                <w:color w:val="FFFFFF"/>
              </w:rPr>
            </w:pPr>
            <w:r w:rsidRPr="00501E37">
              <w:rPr>
                <w:b/>
                <w:color w:val="FFFFFF"/>
              </w:rPr>
              <w:lastRenderedPageBreak/>
              <w:t>CONCLUSION</w:t>
            </w:r>
          </w:p>
        </w:tc>
      </w:tr>
      <w:tr w:rsidR="00470E27" w:rsidTr="009268A8">
        <w:tc>
          <w:tcPr>
            <w:tcW w:w="959" w:type="dxa"/>
            <w:vMerge w:val="restart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2min’s</w:t>
            </w:r>
          </w:p>
        </w:tc>
        <w:tc>
          <w:tcPr>
            <w:tcW w:w="425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O</w:t>
            </w:r>
          </w:p>
        </w:tc>
        <w:tc>
          <w:tcPr>
            <w:tcW w:w="5670" w:type="dxa"/>
            <w:gridSpan w:val="4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At the end of the season we will revisit the outcomes by doing a group activity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White Board</w:t>
            </w:r>
          </w:p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Hand-out’s</w:t>
            </w:r>
          </w:p>
        </w:tc>
      </w:tr>
      <w:tr w:rsidR="00470E27" w:rsidTr="009268A8">
        <w:tc>
          <w:tcPr>
            <w:tcW w:w="959" w:type="dxa"/>
            <w:vMerge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F</w:t>
            </w:r>
          </w:p>
        </w:tc>
        <w:tc>
          <w:tcPr>
            <w:tcW w:w="5670" w:type="dxa"/>
            <w:gridSpan w:val="4"/>
          </w:tcPr>
          <w:p w:rsidR="00470E27" w:rsidRPr="006E3FEB" w:rsidRDefault="00470E27" w:rsidP="009268A8">
            <w:pPr>
              <w:pStyle w:val="Tablehangingindent1"/>
              <w:spacing w:before="80" w:after="80" w:line="240" w:lineRule="auto"/>
            </w:pPr>
            <w:r>
              <w:t>Feedback sheets will be provided at the very end of the season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hangingindent1"/>
              <w:spacing w:before="80" w:after="80" w:line="240" w:lineRule="auto"/>
            </w:pPr>
            <w:r>
              <w:t>Hand-out’s</w:t>
            </w:r>
          </w:p>
        </w:tc>
      </w:tr>
      <w:tr w:rsidR="00470E27" w:rsidTr="009268A8">
        <w:tc>
          <w:tcPr>
            <w:tcW w:w="959" w:type="dxa"/>
            <w:vMerge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470E27" w:rsidRPr="00501E37" w:rsidRDefault="00470E27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F</w:t>
            </w:r>
          </w:p>
        </w:tc>
        <w:tc>
          <w:tcPr>
            <w:tcW w:w="5670" w:type="dxa"/>
            <w:gridSpan w:val="4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Will continue on to “The governing bodies”, “investment life cycle of superannuation” and “Investments”</w:t>
            </w:r>
          </w:p>
        </w:tc>
        <w:tc>
          <w:tcPr>
            <w:tcW w:w="1666" w:type="dxa"/>
            <w:gridSpan w:val="2"/>
          </w:tcPr>
          <w:p w:rsidR="00470E27" w:rsidRDefault="00470E27" w:rsidP="009268A8">
            <w:pPr>
              <w:pStyle w:val="TableText"/>
              <w:spacing w:before="80" w:after="80" w:line="240" w:lineRule="auto"/>
            </w:pPr>
            <w:r>
              <w:t>n/a</w:t>
            </w:r>
          </w:p>
        </w:tc>
      </w:tr>
    </w:tbl>
    <w:p w:rsidR="00470E27" w:rsidRDefault="00470E27" w:rsidP="00470E27">
      <w:pPr>
        <w:pStyle w:val="TableorFigureTitle"/>
        <w:jc w:val="center"/>
        <w:rPr>
          <w:color w:val="808080"/>
        </w:rPr>
      </w:pPr>
    </w:p>
    <w:p w:rsidR="002135D5" w:rsidRDefault="002135D5" w:rsidP="00470E27"/>
    <w:sectPr w:rsidR="002135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E27"/>
    <w:rsid w:val="002135D5"/>
    <w:rsid w:val="0021684C"/>
    <w:rsid w:val="0047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E27"/>
    <w:pPr>
      <w:spacing w:before="120" w:after="120" w:line="264" w:lineRule="auto"/>
    </w:pPr>
    <w:rPr>
      <w:rFonts w:ascii="Century Gothic" w:eastAsia="Times New Roman" w:hAnsi="Century Gothic" w:cs="Times New Roman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0E27"/>
    <w:pPr>
      <w:keepNext/>
      <w:pBdr>
        <w:bottom w:val="single" w:sz="6" w:space="1" w:color="auto"/>
      </w:pBdr>
      <w:spacing w:before="0" w:after="480" w:line="240" w:lineRule="auto"/>
      <w:ind w:left="-397"/>
      <w:outlineLvl w:val="1"/>
    </w:pPr>
    <w:rPr>
      <w:rFonts w:ascii="Arial Narrow" w:hAnsi="Arial Narrow" w:cs="Arial"/>
      <w:b/>
      <w:bCs/>
      <w:iCs/>
      <w:sz w:val="4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470E27"/>
    <w:rPr>
      <w:rFonts w:ascii="Arial Narrow" w:eastAsia="Times New Roman" w:hAnsi="Arial Narrow" w:cs="Arial"/>
      <w:b/>
      <w:bCs/>
      <w:iCs/>
      <w:sz w:val="44"/>
      <w:szCs w:val="28"/>
      <w:lang w:eastAsia="en-AU"/>
    </w:rPr>
  </w:style>
  <w:style w:type="paragraph" w:customStyle="1" w:styleId="TableHeadReverse">
    <w:name w:val="Table Head Reverse"/>
    <w:basedOn w:val="Normal"/>
    <w:uiPriority w:val="99"/>
    <w:rsid w:val="00470E27"/>
    <w:pPr>
      <w:spacing w:before="60" w:after="60" w:line="288" w:lineRule="auto"/>
    </w:pPr>
    <w:rPr>
      <w:rFonts w:ascii="Arial Narrow" w:hAnsi="Arial Narrow"/>
      <w:b/>
      <w:color w:val="FFFFFF"/>
      <w:szCs w:val="20"/>
      <w:lang w:val="en-GB" w:eastAsia="en-US"/>
    </w:rPr>
  </w:style>
  <w:style w:type="paragraph" w:customStyle="1" w:styleId="TableText">
    <w:name w:val="Table Text"/>
    <w:aliases w:val="tt"/>
    <w:basedOn w:val="Normal"/>
    <w:rsid w:val="00470E27"/>
    <w:rPr>
      <w:rFonts w:ascii="Arial Narrow" w:hAnsi="Arial Narrow"/>
      <w:szCs w:val="20"/>
      <w:lang w:val="en-GB" w:eastAsia="en-US"/>
    </w:rPr>
  </w:style>
  <w:style w:type="paragraph" w:customStyle="1" w:styleId="TableorFigureTitle">
    <w:name w:val="Table or Figure Title"/>
    <w:link w:val="TableorFigureTitleChar"/>
    <w:uiPriority w:val="99"/>
    <w:rsid w:val="00470E27"/>
    <w:pPr>
      <w:keepNext/>
      <w:spacing w:before="120" w:after="120" w:line="240" w:lineRule="auto"/>
    </w:pPr>
    <w:rPr>
      <w:rFonts w:ascii="Arial Narrow" w:eastAsia="Times New Roman" w:hAnsi="Arial Narrow" w:cs="Times New Roman"/>
      <w:b/>
      <w:noProof/>
      <w:sz w:val="24"/>
      <w:szCs w:val="20"/>
    </w:rPr>
  </w:style>
  <w:style w:type="character" w:customStyle="1" w:styleId="TableorFigureTitleChar">
    <w:name w:val="Table or Figure Title Char"/>
    <w:link w:val="TableorFigureTitle"/>
    <w:uiPriority w:val="99"/>
    <w:locked/>
    <w:rsid w:val="00470E27"/>
    <w:rPr>
      <w:rFonts w:ascii="Arial Narrow" w:eastAsia="Times New Roman" w:hAnsi="Arial Narrow" w:cs="Times New Roman"/>
      <w:b/>
      <w:noProof/>
      <w:sz w:val="24"/>
      <w:szCs w:val="20"/>
    </w:rPr>
  </w:style>
  <w:style w:type="character" w:styleId="Hyperlink">
    <w:name w:val="Hyperlink"/>
    <w:uiPriority w:val="99"/>
    <w:rsid w:val="00470E27"/>
    <w:rPr>
      <w:rFonts w:cs="Times New Roman"/>
      <w:color w:val="0000FF"/>
      <w:u w:val="single"/>
    </w:rPr>
  </w:style>
  <w:style w:type="paragraph" w:customStyle="1" w:styleId="Tablehangingindent1">
    <w:name w:val="Table hanging indent 1"/>
    <w:basedOn w:val="TableText"/>
    <w:uiPriority w:val="99"/>
    <w:rsid w:val="00470E27"/>
    <w:pPr>
      <w:ind w:left="340" w:hanging="340"/>
    </w:pPr>
  </w:style>
  <w:style w:type="character" w:customStyle="1" w:styleId="accessibilityonly">
    <w:name w:val="accessibilityonly"/>
    <w:basedOn w:val="DefaultParagraphFont"/>
    <w:rsid w:val="00470E27"/>
  </w:style>
  <w:style w:type="character" w:styleId="HTMLCite">
    <w:name w:val="HTML Cite"/>
    <w:uiPriority w:val="99"/>
    <w:semiHidden/>
    <w:unhideWhenUsed/>
    <w:rsid w:val="00470E27"/>
    <w:rPr>
      <w:i w:val="0"/>
      <w:iCs w:val="0"/>
      <w:color w:val="00993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E27"/>
    <w:pPr>
      <w:spacing w:before="120" w:after="120" w:line="264" w:lineRule="auto"/>
    </w:pPr>
    <w:rPr>
      <w:rFonts w:ascii="Century Gothic" w:eastAsia="Times New Roman" w:hAnsi="Century Gothic" w:cs="Times New Roman"/>
      <w:szCs w:val="24"/>
      <w:lang w:eastAsia="en-A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0E27"/>
    <w:pPr>
      <w:keepNext/>
      <w:pBdr>
        <w:bottom w:val="single" w:sz="6" w:space="1" w:color="auto"/>
      </w:pBdr>
      <w:spacing w:before="0" w:after="480" w:line="240" w:lineRule="auto"/>
      <w:ind w:left="-397"/>
      <w:outlineLvl w:val="1"/>
    </w:pPr>
    <w:rPr>
      <w:rFonts w:ascii="Arial Narrow" w:hAnsi="Arial Narrow" w:cs="Arial"/>
      <w:b/>
      <w:bCs/>
      <w:iCs/>
      <w:sz w:val="4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470E27"/>
    <w:rPr>
      <w:rFonts w:ascii="Arial Narrow" w:eastAsia="Times New Roman" w:hAnsi="Arial Narrow" w:cs="Arial"/>
      <w:b/>
      <w:bCs/>
      <w:iCs/>
      <w:sz w:val="44"/>
      <w:szCs w:val="28"/>
      <w:lang w:eastAsia="en-AU"/>
    </w:rPr>
  </w:style>
  <w:style w:type="paragraph" w:customStyle="1" w:styleId="TableHeadReverse">
    <w:name w:val="Table Head Reverse"/>
    <w:basedOn w:val="Normal"/>
    <w:uiPriority w:val="99"/>
    <w:rsid w:val="00470E27"/>
    <w:pPr>
      <w:spacing w:before="60" w:after="60" w:line="288" w:lineRule="auto"/>
    </w:pPr>
    <w:rPr>
      <w:rFonts w:ascii="Arial Narrow" w:hAnsi="Arial Narrow"/>
      <w:b/>
      <w:color w:val="FFFFFF"/>
      <w:szCs w:val="20"/>
      <w:lang w:val="en-GB" w:eastAsia="en-US"/>
    </w:rPr>
  </w:style>
  <w:style w:type="paragraph" w:customStyle="1" w:styleId="TableText">
    <w:name w:val="Table Text"/>
    <w:aliases w:val="tt"/>
    <w:basedOn w:val="Normal"/>
    <w:rsid w:val="00470E27"/>
    <w:rPr>
      <w:rFonts w:ascii="Arial Narrow" w:hAnsi="Arial Narrow"/>
      <w:szCs w:val="20"/>
      <w:lang w:val="en-GB" w:eastAsia="en-US"/>
    </w:rPr>
  </w:style>
  <w:style w:type="paragraph" w:customStyle="1" w:styleId="TableorFigureTitle">
    <w:name w:val="Table or Figure Title"/>
    <w:link w:val="TableorFigureTitleChar"/>
    <w:uiPriority w:val="99"/>
    <w:rsid w:val="00470E27"/>
    <w:pPr>
      <w:keepNext/>
      <w:spacing w:before="120" w:after="120" w:line="240" w:lineRule="auto"/>
    </w:pPr>
    <w:rPr>
      <w:rFonts w:ascii="Arial Narrow" w:eastAsia="Times New Roman" w:hAnsi="Arial Narrow" w:cs="Times New Roman"/>
      <w:b/>
      <w:noProof/>
      <w:sz w:val="24"/>
      <w:szCs w:val="20"/>
    </w:rPr>
  </w:style>
  <w:style w:type="character" w:customStyle="1" w:styleId="TableorFigureTitleChar">
    <w:name w:val="Table or Figure Title Char"/>
    <w:link w:val="TableorFigureTitle"/>
    <w:uiPriority w:val="99"/>
    <w:locked/>
    <w:rsid w:val="00470E27"/>
    <w:rPr>
      <w:rFonts w:ascii="Arial Narrow" w:eastAsia="Times New Roman" w:hAnsi="Arial Narrow" w:cs="Times New Roman"/>
      <w:b/>
      <w:noProof/>
      <w:sz w:val="24"/>
      <w:szCs w:val="20"/>
    </w:rPr>
  </w:style>
  <w:style w:type="character" w:styleId="Hyperlink">
    <w:name w:val="Hyperlink"/>
    <w:uiPriority w:val="99"/>
    <w:rsid w:val="00470E27"/>
    <w:rPr>
      <w:rFonts w:cs="Times New Roman"/>
      <w:color w:val="0000FF"/>
      <w:u w:val="single"/>
    </w:rPr>
  </w:style>
  <w:style w:type="paragraph" w:customStyle="1" w:styleId="Tablehangingindent1">
    <w:name w:val="Table hanging indent 1"/>
    <w:basedOn w:val="TableText"/>
    <w:uiPriority w:val="99"/>
    <w:rsid w:val="00470E27"/>
    <w:pPr>
      <w:ind w:left="340" w:hanging="340"/>
    </w:pPr>
  </w:style>
  <w:style w:type="character" w:customStyle="1" w:styleId="accessibilityonly">
    <w:name w:val="accessibilityonly"/>
    <w:basedOn w:val="DefaultParagraphFont"/>
    <w:rsid w:val="00470E27"/>
  </w:style>
  <w:style w:type="character" w:styleId="HTMLCite">
    <w:name w:val="HTML Cite"/>
    <w:uiPriority w:val="99"/>
    <w:semiHidden/>
    <w:unhideWhenUsed/>
    <w:rsid w:val="00470E27"/>
    <w:rPr>
      <w:i w:val="0"/>
      <w:iCs w:val="0"/>
      <w:color w:val="0099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ctu.org.au/super/about/super_history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to.gov.au/super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pra.gov.au/Super/Pages/superannuation-legislation.aspx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training.gov.au/Training/Details/FNSFLT204A" TargetMode="External"/><Relationship Id="rId10" Type="http://schemas.openxmlformats.org/officeDocument/2006/relationships/hyperlink" Target="http://www.aist.asn.au/resources/super-for-consumers/the-history-of-super.asp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pra.gov.au/Insight/Documents/History-of-superannuation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Dunning</dc:creator>
  <cp:lastModifiedBy>Cassandra Dunning</cp:lastModifiedBy>
  <cp:revision>2</cp:revision>
  <dcterms:created xsi:type="dcterms:W3CDTF">2012-05-13T06:15:00Z</dcterms:created>
  <dcterms:modified xsi:type="dcterms:W3CDTF">2012-05-20T05:26:00Z</dcterms:modified>
</cp:coreProperties>
</file>